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FFA" w:rsidRDefault="00ED2FFA" w:rsidP="00ED2FFA">
      <w:pPr>
        <w:pStyle w:val="Heading3"/>
      </w:pPr>
      <w:bookmarkStart w:id="0" w:name="_Toc256000482"/>
      <w:r>
        <w:rPr>
          <w:noProof/>
        </w:rPr>
        <w:t>4.1.4 Активен земеделски стопанин</w:t>
      </w:r>
      <w:bookmarkEnd w:id="0"/>
    </w:p>
    <w:p w:rsidR="00ED2FFA" w:rsidRDefault="00ED2FFA" w:rsidP="00ED2FFA">
      <w:pPr>
        <w:pStyle w:val="Heading4"/>
      </w:pPr>
      <w:bookmarkStart w:id="1" w:name="_Toc256000483"/>
      <w:r>
        <w:rPr>
          <w:noProof/>
        </w:rPr>
        <w:t>4.1.4.1 Критерии за идентифициране на онези, които имат минимално ниво на селскостопанска дейност</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ED2FFA" w:rsidTr="00280423">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FFA" w:rsidRDefault="00ED2FFA" w:rsidP="00280423">
            <w:pPr>
              <w:spacing w:before="40" w:after="40"/>
              <w:jc w:val="both"/>
            </w:pPr>
            <w:r>
              <w:rPr>
                <w:noProof/>
              </w:rPr>
              <w:t>Активен земеделски стопанин е физическо или юридическо лице, което е земеделски стопанин по смисъла на член 3 от Регламент (ЕС) № 2021/2115, вписан е в националния регистър на земеделските стопани, не извършва нито една от дейностите в негативния списък и отговаря на следните условия:</w:t>
            </w:r>
          </w:p>
          <w:p w:rsidR="00ED2FFA" w:rsidRDefault="00ED2FFA" w:rsidP="00280423">
            <w:pPr>
              <w:spacing w:before="40" w:after="40"/>
              <w:jc w:val="both"/>
            </w:pPr>
            <w:r>
              <w:rPr>
                <w:noProof/>
              </w:rPr>
              <w:t>• основната дейност на юридическото лице, което е търговец и едноличен търговец, съгласно Кода на икономическата му дейност, удостоверен от Националния статистически институт за година, предхождаща годината на кандидатстване, е упражняване на селскостопанска дейност; или</w:t>
            </w:r>
          </w:p>
          <w:p w:rsidR="00ED2FFA" w:rsidRDefault="00ED2FFA" w:rsidP="00280423">
            <w:pPr>
              <w:spacing w:before="40" w:after="40"/>
              <w:jc w:val="both"/>
            </w:pPr>
            <w:r>
              <w:rPr>
                <w:noProof/>
              </w:rPr>
              <w:t>• предметът на дейност, основната икономическа дейност или упражняваната дейност на юридическото лице, което не е търговец и физическото лице, съгласно Кода на икономическа дейност, удостоверен от Националния статистически институт, за година, предхождаща годината на кандидатстване, е упражняване на селскостопанска дейност или</w:t>
            </w:r>
          </w:p>
          <w:p w:rsidR="00ED2FFA" w:rsidRDefault="00ED2FFA" w:rsidP="00280423">
            <w:pPr>
              <w:spacing w:before="40" w:after="40"/>
              <w:jc w:val="both"/>
            </w:pPr>
            <w:r>
              <w:rPr>
                <w:noProof/>
              </w:rPr>
              <w:t>• може да докаже, че:</w:t>
            </w:r>
          </w:p>
          <w:p w:rsidR="00ED2FFA" w:rsidRDefault="00ED2FFA" w:rsidP="00280423">
            <w:pPr>
              <w:spacing w:before="40" w:after="40"/>
              <w:jc w:val="both"/>
            </w:pPr>
            <w:r>
              <w:rPr>
                <w:noProof/>
              </w:rPr>
              <w:t>- доходите му от селскостопанска дейност съставляват най-малко 10% от общия доход на стопанството, или</w:t>
            </w:r>
          </w:p>
          <w:p w:rsidR="00ED2FFA" w:rsidRDefault="00ED2FFA" w:rsidP="00280423">
            <w:pPr>
              <w:spacing w:before="40" w:after="40"/>
              <w:jc w:val="both"/>
            </w:pPr>
            <w:r>
              <w:rPr>
                <w:noProof/>
              </w:rPr>
              <w:t>- годишният размер на директните плащания е минимум 2% от общите приходи, получени от неселскостопански дейности.</w:t>
            </w:r>
          </w:p>
        </w:tc>
      </w:tr>
    </w:tbl>
    <w:p w:rsidR="00ED2FFA" w:rsidRDefault="00ED2FFA" w:rsidP="00ED2FFA">
      <w:pPr>
        <w:pStyle w:val="Heading4"/>
      </w:pPr>
      <w:bookmarkStart w:id="2" w:name="_Toc256000484"/>
      <w:r>
        <w:rPr>
          <w:noProof/>
        </w:rPr>
        <w:t>4.1.4.2 Решение за използване на отрицателен списък на неземеделски дейности като допълнителен инструмент</w:t>
      </w:r>
      <w:bookmarkEnd w:id="2"/>
    </w:p>
    <w:p w:rsidR="00ED2FFA" w:rsidRDefault="00ED2FFA" w:rsidP="00ED2FFA">
      <w:pPr>
        <w:rPr>
          <w:sz w:val="0"/>
        </w:rPr>
      </w:pPr>
      <w:r>
        <w:rPr>
          <w:noProof/>
        </w:rPr>
        <w:t xml:space="preserve"> : </w:t>
      </w:r>
      <w:r>
        <w:rPr>
          <w:b/>
          <w:noProof/>
        </w:rPr>
        <w:t>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ED2FFA" w:rsidTr="00280423">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FFA" w:rsidRDefault="00ED2FFA" w:rsidP="00280423">
            <w:pPr>
              <w:spacing w:before="40" w:after="40"/>
              <w:jc w:val="both"/>
            </w:pPr>
            <w:r>
              <w:rPr>
                <w:noProof/>
              </w:rPr>
              <w:t>По принцип следните физически или юридически лица ще се считат за неактивни земеделски стопани (негативен списък):</w:t>
            </w:r>
          </w:p>
          <w:p w:rsidR="00ED2FFA" w:rsidRDefault="00ED2FFA" w:rsidP="00280423">
            <w:pPr>
              <w:spacing w:before="40" w:after="40"/>
              <w:jc w:val="both"/>
            </w:pPr>
            <w:r>
              <w:rPr>
                <w:noProof/>
              </w:rPr>
              <w:t>• които администрират летища</w:t>
            </w:r>
          </w:p>
          <w:p w:rsidR="00ED2FFA" w:rsidRDefault="00ED2FFA" w:rsidP="00280423">
            <w:pPr>
              <w:spacing w:before="40" w:after="40"/>
              <w:jc w:val="both"/>
            </w:pPr>
            <w:r>
              <w:rPr>
                <w:noProof/>
              </w:rPr>
              <w:t>• които експлоатират водни съоръжения</w:t>
            </w:r>
          </w:p>
          <w:p w:rsidR="00ED2FFA" w:rsidRDefault="00ED2FFA" w:rsidP="00280423">
            <w:pPr>
              <w:spacing w:before="40" w:after="40"/>
              <w:jc w:val="both"/>
            </w:pPr>
            <w:r>
              <w:rPr>
                <w:noProof/>
              </w:rPr>
              <w:t>• които администрират зони за спорт и отдих</w:t>
            </w:r>
          </w:p>
          <w:p w:rsidR="00ED2FFA" w:rsidRDefault="00ED2FFA" w:rsidP="00280423">
            <w:pPr>
              <w:spacing w:before="40" w:after="40"/>
              <w:jc w:val="both"/>
            </w:pPr>
            <w:r>
              <w:rPr>
                <w:noProof/>
              </w:rPr>
              <w:t>• които предоставят железопътни услуги</w:t>
            </w:r>
          </w:p>
          <w:p w:rsidR="00ED2FFA" w:rsidRDefault="00ED2FFA" w:rsidP="00280423">
            <w:pPr>
              <w:spacing w:before="40" w:after="40"/>
              <w:jc w:val="both"/>
            </w:pPr>
            <w:r>
              <w:rPr>
                <w:noProof/>
              </w:rPr>
              <w:t>• които предоставят услуги в областта на недвижимите имоти</w:t>
            </w:r>
          </w:p>
          <w:p w:rsidR="00ED2FFA" w:rsidRDefault="00ED2FFA" w:rsidP="00280423">
            <w:pPr>
              <w:spacing w:before="40" w:after="40"/>
              <w:jc w:val="both"/>
            </w:pPr>
            <w:r>
              <w:rPr>
                <w:noProof/>
              </w:rPr>
              <w:t>• които са държавни или общински администрации или техни поделения</w:t>
            </w:r>
          </w:p>
          <w:p w:rsidR="00ED2FFA" w:rsidRDefault="00ED2FFA" w:rsidP="00280423">
            <w:pPr>
              <w:spacing w:before="40" w:after="40"/>
              <w:jc w:val="both"/>
            </w:pPr>
            <w:r>
              <w:rPr>
                <w:noProof/>
              </w:rPr>
              <w:t xml:space="preserve">Изброените в този списък категории предприятия са такива, за които по принцип се предполага, че основните им икономически дейности не са свързани с извършване на селскостопански дейности. Лицата, опериращи в тях, ще се считат за активни земеделски стопани ако са вписани в националния регистър на земеделските стопани и отговарят на поне един от критериите по т.4.1.4.1. </w:t>
            </w:r>
          </w:p>
        </w:tc>
      </w:tr>
    </w:tbl>
    <w:p w:rsidR="00ED2FFA" w:rsidRDefault="00ED2FFA" w:rsidP="00ED2FFA">
      <w:pPr>
        <w:pStyle w:val="Heading4"/>
      </w:pPr>
      <w:bookmarkStart w:id="3" w:name="_Toc256000485"/>
      <w:r>
        <w:rPr>
          <w:noProof/>
        </w:rPr>
        <w:t>4.1.4.3 Решение за задаване на сума на преките плащания, не по-висока от 5 000 EUR, при която земеделските стопани във всички случаи се считат за „активни земеделски стопани“</w:t>
      </w:r>
      <w:bookmarkEnd w:id="3"/>
    </w:p>
    <w:p w:rsidR="00ED2FFA" w:rsidRDefault="00ED2FFA" w:rsidP="00ED2FFA">
      <w:pPr>
        <w:rPr>
          <w:sz w:val="0"/>
        </w:rPr>
      </w:pPr>
      <w:r>
        <w:rPr>
          <w:noProof/>
        </w:rPr>
        <w:t xml:space="preserve"> : </w:t>
      </w:r>
      <w:r>
        <w:rPr>
          <w:b/>
          <w:noProof/>
        </w:rPr>
        <w:t>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ED2FFA" w:rsidTr="00280423">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FFA" w:rsidRDefault="00ED2FFA" w:rsidP="0048751B">
            <w:pPr>
              <w:spacing w:before="40" w:after="40"/>
              <w:jc w:val="both"/>
            </w:pPr>
            <w:r>
              <w:rPr>
                <w:noProof/>
                <w:color w:val="000000"/>
              </w:rPr>
              <w:t>Земеделските стопани се считат за активни земеделски стопани, ако през предходната година имат сума на директните плащания, която не надвишава 5 000 евро</w:t>
            </w:r>
            <w:r>
              <w:rPr>
                <w:noProof/>
                <w:color w:val="76923C"/>
              </w:rPr>
              <w:t xml:space="preserve">. </w:t>
            </w:r>
            <w:r>
              <w:rPr>
                <w:noProof/>
              </w:rPr>
              <w:t>Ако съответният земеделски стопанин не е подал заявление за подпомагане с директни плащания през предходната година</w:t>
            </w:r>
            <w:r w:rsidR="00F70D13">
              <w:rPr>
                <w:noProof/>
                <w:lang w:val="bg-BG"/>
              </w:rPr>
              <w:t xml:space="preserve"> </w:t>
            </w:r>
            <w:r w:rsidR="00F70D13" w:rsidRPr="00143B31">
              <w:rPr>
                <w:noProof/>
                <w:color w:val="FF0000"/>
                <w:highlight w:val="yellow"/>
                <w:lang w:val="bg-BG"/>
              </w:rPr>
              <w:t>или не е получил директни плащания</w:t>
            </w:r>
            <w:r w:rsidRPr="00143B31">
              <w:rPr>
                <w:noProof/>
                <w:color w:val="FF0000"/>
                <w:highlight w:val="yellow"/>
              </w:rPr>
              <w:t>,</w:t>
            </w:r>
            <w:r w:rsidRPr="00143B31">
              <w:rPr>
                <w:noProof/>
                <w:color w:val="FF0000"/>
              </w:rPr>
              <w:t xml:space="preserve"> </w:t>
            </w:r>
            <w:r>
              <w:rPr>
                <w:noProof/>
              </w:rPr>
              <w:t>общият размер на директните плащания се определя</w:t>
            </w:r>
            <w:r w:rsidR="00F70D13" w:rsidRPr="00143B31">
              <w:rPr>
                <w:noProof/>
                <w:color w:val="FF0000"/>
                <w:highlight w:val="yellow"/>
                <w:lang w:val="bg-BG"/>
              </w:rPr>
              <w:t>,</w:t>
            </w:r>
            <w:r w:rsidRPr="00143B31">
              <w:rPr>
                <w:noProof/>
                <w:color w:val="FF0000"/>
              </w:rPr>
              <w:t xml:space="preserve"> </w:t>
            </w:r>
            <w:r>
              <w:rPr>
                <w:noProof/>
              </w:rPr>
              <w:t xml:space="preserve">като се умножи броят на </w:t>
            </w:r>
            <w:r w:rsidRPr="0048751B">
              <w:rPr>
                <w:strike/>
                <w:noProof/>
              </w:rPr>
              <w:t>допустимите</w:t>
            </w:r>
            <w:r>
              <w:rPr>
                <w:noProof/>
              </w:rPr>
              <w:t xml:space="preserve"> </w:t>
            </w:r>
            <w:r w:rsidR="0048751B" w:rsidRPr="00143B31">
              <w:rPr>
                <w:noProof/>
                <w:color w:val="FF0000"/>
                <w:highlight w:val="yellow"/>
                <w:lang w:val="bg-BG"/>
              </w:rPr>
              <w:t>декларираните</w:t>
            </w:r>
            <w:r w:rsidR="0048751B">
              <w:rPr>
                <w:noProof/>
                <w:lang w:val="bg-BG"/>
              </w:rPr>
              <w:t xml:space="preserve"> </w:t>
            </w:r>
            <w:r>
              <w:rPr>
                <w:noProof/>
              </w:rPr>
              <w:t xml:space="preserve">хектари </w:t>
            </w:r>
            <w:r w:rsidRPr="0048751B">
              <w:rPr>
                <w:strike/>
                <w:noProof/>
              </w:rPr>
              <w:t>или животни</w:t>
            </w:r>
            <w:r>
              <w:rPr>
                <w:noProof/>
              </w:rPr>
              <w:t xml:space="preserve"> в годината на подаване на заявлението </w:t>
            </w:r>
            <w:r w:rsidRPr="0048751B">
              <w:rPr>
                <w:strike/>
                <w:noProof/>
              </w:rPr>
              <w:t>по единичната сума на подкрепа на хектар или на животно през предходната година (или</w:t>
            </w:r>
            <w:r>
              <w:rPr>
                <w:noProof/>
              </w:rPr>
              <w:t xml:space="preserve"> по средното за страната плащане на хектар</w:t>
            </w:r>
            <w:r w:rsidR="003118AA">
              <w:rPr>
                <w:noProof/>
                <w:lang w:val="bg-BG"/>
              </w:rPr>
              <w:t>,</w:t>
            </w:r>
            <w:r>
              <w:rPr>
                <w:noProof/>
              </w:rPr>
              <w:t xml:space="preserve"> </w:t>
            </w:r>
            <w:r w:rsidRPr="0048751B">
              <w:rPr>
                <w:strike/>
                <w:noProof/>
              </w:rPr>
              <w:t>или на животно, ако предходната година е преди периода на прилагане на стратегическия план 2023-2027)</w:t>
            </w:r>
            <w:r w:rsidR="00F70D13" w:rsidRPr="00143B31">
              <w:rPr>
                <w:noProof/>
                <w:color w:val="FF0000"/>
                <w:highlight w:val="yellow"/>
                <w:lang w:val="bg-BG"/>
              </w:rPr>
              <w:t>,</w:t>
            </w:r>
            <w:r w:rsidR="0048751B" w:rsidRPr="00143B31">
              <w:rPr>
                <w:noProof/>
                <w:highlight w:val="yellow"/>
                <w:lang w:val="bg-BG"/>
              </w:rPr>
              <w:t xml:space="preserve"> </w:t>
            </w:r>
            <w:r w:rsidR="0048751B" w:rsidRPr="00143B31">
              <w:rPr>
                <w:noProof/>
                <w:color w:val="FF0000"/>
                <w:highlight w:val="yellow"/>
                <w:lang w:val="bg-BG"/>
              </w:rPr>
              <w:t>определено по реда на чл. 29, параграф 5 от Регламент (ЕС) 2021/2115</w:t>
            </w:r>
            <w:r w:rsidR="0048751B">
              <w:rPr>
                <w:noProof/>
                <w:lang w:val="bg-BG"/>
              </w:rPr>
              <w:t>.</w:t>
            </w:r>
            <w:r>
              <w:rPr>
                <w:noProof/>
              </w:rPr>
              <w:t xml:space="preserve"> </w:t>
            </w:r>
            <w:r>
              <w:rPr>
                <w:noProof/>
                <w:color w:val="000000"/>
              </w:rPr>
              <w:t>Прагът от 5000 евро се основава на размера на подпомагане на дребните земеделски стопани на площ, като подпомагането не надхвърля този праг. Определеният праг е оптимален, тъй като данните в swot анализа показват, че за 2017 г. 68% от земеделските стопани, които са дребни земеделски стопани, не получават повече от 5000 евро директни плащания. Следователно сумата от 5000 евро директни плащания се счита за подходяща като форма на административно опростяване, като се вземе предвид ефектът от външната конвергенция върху увеличението на общия пакет на директните плащания в периода 2023-2027 г.</w:t>
            </w:r>
          </w:p>
        </w:tc>
      </w:tr>
    </w:tbl>
    <w:p w:rsidR="00506E52" w:rsidRDefault="00506E52"/>
    <w:p w:rsidR="0048751B" w:rsidRDefault="0048751B"/>
    <w:p w:rsidR="0048751B" w:rsidRPr="00BD4087" w:rsidRDefault="003C11AF" w:rsidP="00BD4087">
      <w:pPr>
        <w:spacing w:line="276" w:lineRule="auto"/>
        <w:jc w:val="both"/>
        <w:rPr>
          <w:b/>
          <w:lang w:val="bg-BG"/>
        </w:rPr>
      </w:pPr>
      <w:r>
        <w:rPr>
          <w:b/>
          <w:lang w:val="bg-BG"/>
        </w:rPr>
        <w:t>Обосновка на</w:t>
      </w:r>
      <w:r w:rsidR="00BD4087" w:rsidRPr="00BD4087">
        <w:rPr>
          <w:b/>
          <w:lang w:val="bg-BG"/>
        </w:rPr>
        <w:t xml:space="preserve"> предложената промяна:</w:t>
      </w:r>
    </w:p>
    <w:p w:rsidR="00BD4087" w:rsidRPr="00143B31" w:rsidRDefault="00BD4087" w:rsidP="00BD4087">
      <w:pPr>
        <w:spacing w:line="276" w:lineRule="auto"/>
        <w:jc w:val="both"/>
        <w:rPr>
          <w:lang w:val="bg-BG"/>
        </w:rPr>
      </w:pPr>
      <w:r w:rsidRPr="00BD4087">
        <w:rPr>
          <w:lang w:val="bg-BG"/>
        </w:rPr>
        <w:t>Промяната в дефиницията за „Активен земеделски стопанин“ цели намаляване на административната тежест както за земеделските стопани</w:t>
      </w:r>
      <w:r>
        <w:rPr>
          <w:lang w:val="bg-BG"/>
        </w:rPr>
        <w:t>,</w:t>
      </w:r>
      <w:r w:rsidRPr="00BD4087">
        <w:rPr>
          <w:lang w:val="bg-BG"/>
        </w:rPr>
        <w:t xml:space="preserve"> така и за администрацията. Прецизирането на текста осигурява ясни и приложими правила за извършване на необходимите административни проверки, като се запазва обективния и недискриминационен характер на критерия.</w:t>
      </w:r>
    </w:p>
    <w:sectPr w:rsidR="00BD4087" w:rsidRPr="00143B31">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FA"/>
    <w:rsid w:val="00143B31"/>
    <w:rsid w:val="003118AA"/>
    <w:rsid w:val="003C11AF"/>
    <w:rsid w:val="0048751B"/>
    <w:rsid w:val="00506E52"/>
    <w:rsid w:val="00BD4087"/>
    <w:rsid w:val="00D87922"/>
    <w:rsid w:val="00EC70EF"/>
    <w:rsid w:val="00ED2FFA"/>
    <w:rsid w:val="00F70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AEA8C"/>
  <w15:chartTrackingRefBased/>
  <w15:docId w15:val="{62F4D0FA-C5DC-4CD5-AF35-19817ADB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FFA"/>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ED2FF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D2FFA"/>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2FFA"/>
    <w:rPr>
      <w:rFonts w:ascii="Arial" w:eastAsia="Times New Roman" w:hAnsi="Arial" w:cs="Arial"/>
      <w:b/>
      <w:bCs/>
      <w:sz w:val="26"/>
      <w:szCs w:val="26"/>
    </w:rPr>
  </w:style>
  <w:style w:type="character" w:customStyle="1" w:styleId="Heading4Char">
    <w:name w:val="Heading 4 Char"/>
    <w:basedOn w:val="DefaultParagraphFont"/>
    <w:link w:val="Heading4"/>
    <w:rsid w:val="00ED2FFA"/>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Verginiya Krasteva</dc:creator>
  <cp:keywords/>
  <dc:description/>
  <cp:lastModifiedBy>Elena A. Ivanova</cp:lastModifiedBy>
  <cp:revision>3</cp:revision>
  <dcterms:created xsi:type="dcterms:W3CDTF">2025-08-27T10:50:00Z</dcterms:created>
  <dcterms:modified xsi:type="dcterms:W3CDTF">2025-08-27T10:50:00Z</dcterms:modified>
</cp:coreProperties>
</file>